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482" w:firstLineChars="200"/>
        <w:jc w:val="center"/>
        <w:rPr>
          <w:b/>
          <w:sz w:val="24"/>
        </w:rPr>
      </w:pPr>
      <w:r>
        <w:rPr>
          <w:rFonts w:hint="eastAsia"/>
          <w:b/>
          <w:sz w:val="24"/>
        </w:rPr>
        <w:t>长春工业大学徐平峰出境访问</w:t>
      </w:r>
    </w:p>
    <w:p>
      <w:pPr>
        <w:spacing w:line="300" w:lineRule="auto"/>
        <w:ind w:firstLine="482" w:firstLineChars="200"/>
        <w:jc w:val="center"/>
        <w:rPr>
          <w:b/>
          <w:sz w:val="24"/>
        </w:rPr>
      </w:pPr>
      <w:r>
        <w:rPr>
          <w:rFonts w:hint="eastAsia"/>
          <w:b/>
          <w:sz w:val="24"/>
        </w:rPr>
        <w:t>工作总结</w:t>
      </w:r>
    </w:p>
    <w:p>
      <w:pPr>
        <w:spacing w:line="30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rFonts w:hint="eastAsia"/>
          <w:sz w:val="24"/>
        </w:rPr>
        <w:t>年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30</w:t>
      </w:r>
      <w:r>
        <w:rPr>
          <w:rFonts w:hint="eastAsia"/>
          <w:sz w:val="24"/>
        </w:rPr>
        <w:t>日</w:t>
      </w:r>
    </w:p>
    <w:p>
      <w:pPr>
        <w:spacing w:line="300" w:lineRule="auto"/>
        <w:ind w:firstLine="480" w:firstLineChars="200"/>
      </w:pPr>
      <w:bookmarkStart w:id="0" w:name="OLE_LINK1"/>
      <w:r>
        <w:rPr>
          <w:sz w:val="24"/>
        </w:rPr>
        <w:t>本人</w:t>
      </w:r>
      <w:r>
        <w:rPr>
          <w:rFonts w:hint="eastAsia"/>
          <w:sz w:val="24"/>
        </w:rPr>
        <w:t>为进行含潜变量的图模型相关研究，从2</w:t>
      </w:r>
      <w:r>
        <w:rPr>
          <w:sz w:val="24"/>
        </w:rPr>
        <w:t>019</w:t>
      </w:r>
      <w:r>
        <w:rPr>
          <w:rFonts w:hint="eastAsia"/>
          <w:sz w:val="24"/>
        </w:rPr>
        <w:t>年</w:t>
      </w:r>
      <w:r>
        <w:rPr>
          <w:sz w:val="24"/>
        </w:rPr>
        <w:t>2</w:t>
      </w:r>
      <w:r>
        <w:rPr>
          <w:rFonts w:hint="eastAsia"/>
          <w:sz w:val="24"/>
        </w:rPr>
        <w:t>月2</w:t>
      </w:r>
      <w:r>
        <w:rPr>
          <w:sz w:val="24"/>
        </w:rPr>
        <w:t>1</w:t>
      </w:r>
      <w:r>
        <w:rPr>
          <w:rFonts w:hint="eastAsia"/>
          <w:sz w:val="24"/>
        </w:rPr>
        <w:t>日至2</w:t>
      </w:r>
      <w:r>
        <w:rPr>
          <w:sz w:val="24"/>
        </w:rPr>
        <w:t>019</w:t>
      </w:r>
      <w:r>
        <w:rPr>
          <w:rFonts w:hint="eastAsia"/>
          <w:sz w:val="24"/>
        </w:rPr>
        <w:t>年3月</w:t>
      </w:r>
      <w:r>
        <w:rPr>
          <w:sz w:val="24"/>
        </w:rPr>
        <w:t>29</w:t>
      </w:r>
      <w:r>
        <w:rPr>
          <w:rFonts w:hint="eastAsia"/>
          <w:sz w:val="24"/>
        </w:rPr>
        <w:t>日，在香港恒生大学数学与统计系进行</w:t>
      </w:r>
      <w:r>
        <w:rPr>
          <w:sz w:val="24"/>
        </w:rPr>
        <w:t>访问，</w:t>
      </w:r>
      <w:bookmarkEnd w:id="0"/>
      <w:r>
        <w:rPr>
          <w:rFonts w:hint="eastAsia"/>
          <w:sz w:val="24"/>
        </w:rPr>
        <w:t>与邓文礼教授进行合作研究，</w:t>
      </w:r>
      <w:r>
        <w:rPr>
          <w:sz w:val="24"/>
        </w:rPr>
        <w:t>总结</w:t>
      </w:r>
      <w:r>
        <w:rPr>
          <w:rFonts w:hint="eastAsia"/>
          <w:sz w:val="24"/>
        </w:rPr>
        <w:t>访问情况如下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图模型能清楚地表示变量间的结构关系，被广泛的应用于机器学习、因果推断、生物信息学等各个领域。图模型中的贝叶斯网是一个有向无圈的模型，能够更直观的描述变量间的依赖关系，特别是在其中引入潜变量后，不仅可表示因果推断中不可观测的混杂，而且可简化模型降低模型的复杂度，还可以提高计算的效率。然而，如何确定潜变量的个数、潜变量取值空间以及变量之间结构依赖关系，获得与数据拟合最好的模型，是一个非常具有挑战性的问题。这一问题在机器学习领域称为结构学习，本质上是统计学中的模型选择问题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此次出访，本人与香港恒生大学邓文礼教授合作，针对含潜变量的贝叶斯网的结构学习问题，给出了基于惩罚似然的方法。这里的惩罚包括两项。一是对于可观测变量间的系数进行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范数惩罚，以获得稀疏的模型；二是采用核范数（本文中为矩阵的迹）惩罚，以控制潜变量的个数。我们采用交替凸搜索方法，结合ADMM算法和坐标轴下降法，最小化惩罚似然，从而获得观测变量间的结构关系和潜变量个数的估计。为了找到惩罚似然中合适的调节参数，我们考虑了两种方法：交叉验证和BIC信息准则。我们给出了详细理论推导过程，编写了R程序，与当前主流的PC算法、RFCI算法、Adaptive Lasso惩罚似然方法、低秩稀疏（lrps）方法、低秩稀疏+贪婪搜索（lrps+ges）方法进行了比较。通过大量的模拟，我们发现当样本量大于100时，我们的方法有较好的表现。</w:t>
      </w:r>
    </w:p>
    <w:p>
      <w:pPr>
        <w:spacing w:line="400" w:lineRule="exact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我们考虑含有p=50个观测变量，h=5个潜变量，潜变量与观测变量之间关系的稀疏度sp.l=0.7的模拟情形，将样本量</w:t>
      </w:r>
      <w:r>
        <w:rPr>
          <w:rFonts w:hint="eastAsia"/>
          <w:i/>
          <w:sz w:val="24"/>
        </w:rPr>
        <w:t>n</w:t>
      </w:r>
      <w:r>
        <w:rPr>
          <w:rFonts w:hint="eastAsia"/>
          <w:sz w:val="24"/>
        </w:rPr>
        <w:t>分别取50，200，500，2000，我们随机的产生含潜变量的贝叶斯网及其样本，利用各种方法学习结构并进行比较pre（正确发现率）、rec（召回率）、mcc（</w:t>
      </w:r>
      <w:r>
        <w:t>马修斯系数</w:t>
      </w:r>
      <w:r>
        <w:rPr>
          <w:rFonts w:hint="eastAsia"/>
          <w:sz w:val="24"/>
        </w:rPr>
        <w:t>）、shd（结构距离）、sparsity（模型稀疏度）和rank.L（秩），重复5</w:t>
      </w:r>
      <w:r>
        <w:rPr>
          <w:sz w:val="24"/>
        </w:rPr>
        <w:t>0</w:t>
      </w:r>
      <w:r>
        <w:rPr>
          <w:rFonts w:hint="eastAsia"/>
          <w:sz w:val="24"/>
        </w:rPr>
        <w:t>次，取50次模拟的平均值，结果见下图。</w:t>
      </w:r>
    </w:p>
    <w:p>
      <w:pPr>
        <w:spacing w:line="400" w:lineRule="exact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由图可以看出，当</w:t>
      </w:r>
      <w:r>
        <w:rPr>
          <w:rFonts w:hint="eastAsia"/>
          <w:i/>
          <w:sz w:val="24"/>
        </w:rPr>
        <w:t>n</w:t>
      </w:r>
      <w:r>
        <w:rPr>
          <w:rFonts w:hint="eastAsia"/>
          <w:sz w:val="24"/>
        </w:rPr>
        <w:t>=50时，可以看出adaptive lasso算法的mcc最大，说明该算法最好。PC算法与Rfci算法的mcc值相同，且与adaptive lasso算法的mcc值差距相对小，pre值较大，但对应的rec值较小，shd的数值也较小，sparsity的值较小。acs系列的mcc值很小，pre值也小，对应的rec值较大，shd的值较大。当</w:t>
      </w:r>
      <w:r>
        <w:rPr>
          <w:rFonts w:hint="eastAsia"/>
          <w:i/>
          <w:sz w:val="24"/>
        </w:rPr>
        <w:t>n</w:t>
      </w:r>
      <w:r>
        <w:rPr>
          <w:rFonts w:hint="eastAsia"/>
          <w:sz w:val="24"/>
        </w:rPr>
        <w:t>=200时，acsA.ebic0.5的mcc值最大，对应的pre与rec也保持在较高的数值上，shd的数值较小，说明acsA.ebic0.5的效果最好。acsA系列的mcc值增大，对应的pre与rec的值都比n=50时增大，shd的数值较小。</w:t>
      </w:r>
    </w:p>
    <w:p>
      <w:pPr>
        <w:spacing w:line="400" w:lineRule="exact"/>
        <w:ind w:firstLine="480" w:firstLineChars="200"/>
        <w:textAlignment w:val="center"/>
        <w:rPr>
          <w:sz w:val="24"/>
        </w:rPr>
      </w:pPr>
      <w:r>
        <w:rPr>
          <w:rFonts w:hint="eastAsia"/>
          <w:sz w:val="24"/>
        </w:rPr>
        <w:t>当</w:t>
      </w:r>
      <w:r>
        <w:rPr>
          <w:rFonts w:hint="eastAsia"/>
          <w:i/>
          <w:sz w:val="24"/>
        </w:rPr>
        <w:t>n</w:t>
      </w:r>
      <w:r>
        <w:rPr>
          <w:rFonts w:hint="eastAsia"/>
          <w:sz w:val="24"/>
        </w:rPr>
        <w:t>=500时，acsA.ebic1.0的mcc值最大，对应的pre与rec的值也保持在较高的数值上，shd的数值较小，说明acsA.ebic1.0的效果最好。其他的算法与</w:t>
      </w:r>
      <w:r>
        <w:rPr>
          <w:rFonts w:hint="eastAsia"/>
          <w:i/>
          <w:sz w:val="24"/>
        </w:rPr>
        <w:t>n</w:t>
      </w:r>
      <w:r>
        <w:rPr>
          <w:rFonts w:hint="eastAsia"/>
          <w:sz w:val="24"/>
        </w:rPr>
        <w:t>=200时的情况基本相同。需要注意的是acs.ebic0.5与acs.ebic1.0的mcc值在增大，与acsA系列的mcc值差距不大。可以看出，随着n的增大，acs系列的模拟效果更加凸显。</w:t>
      </w:r>
    </w:p>
    <w:p>
      <w:pPr>
        <w:spacing w:line="400" w:lineRule="exact"/>
        <w:ind w:firstLine="480" w:firstLineChars="200"/>
        <w:textAlignment w:val="center"/>
        <w:rPr>
          <w:rFonts w:hint="eastAsia"/>
          <w:sz w:val="24"/>
        </w:rPr>
      </w:pPr>
      <w:r>
        <w:rPr>
          <w:rFonts w:hint="eastAsia"/>
          <w:sz w:val="24"/>
        </w:rPr>
        <w:t>当</w:t>
      </w:r>
      <w:r>
        <w:rPr>
          <w:rFonts w:hint="eastAsia"/>
          <w:i/>
          <w:sz w:val="24"/>
        </w:rPr>
        <w:t>n</w:t>
      </w:r>
      <w:r>
        <w:rPr>
          <w:rFonts w:hint="eastAsia"/>
          <w:sz w:val="24"/>
        </w:rPr>
        <w:t>=2000时，可以看出acsA.ebic1.0的mcc值最大，对应的rec也保持在较高的数值上，shd的数值较小，说明acsA.ebic1.0的效果最好。LRpS+GES算法的mcc值与acsA.ebic1.0的mcc值差距不大，但对应的pre值较小。随着n的增大，acs系列的rec值有增大的趋势。</w:t>
      </w:r>
    </w:p>
    <w:p>
      <w:pPr>
        <w:spacing w:line="400" w:lineRule="exact"/>
        <w:ind w:firstLine="480" w:firstLineChars="200"/>
        <w:textAlignment w:val="center"/>
        <w:rPr>
          <w:rFonts w:hint="eastAsia"/>
          <w:sz w:val="24"/>
        </w:rPr>
      </w:pPr>
      <w:r>
        <w:rPr>
          <w:rFonts w:hint="eastAsia"/>
          <w:sz w:val="24"/>
        </w:rPr>
        <w:t>根据上述分析，可以大致看出，当sp.l=0.7，h=5时，随着样本量n的取值不断增大， rec的值有上升的趋势，mcc的值能保持在0.5左右，而shd、sparsity在n=200时下降的趋势明显，rank.L的估计随着样本量的变大，大部分的值逐渐趋近于5，这符合图中h=5的设置。</w:t>
      </w:r>
    </w:p>
    <w:p>
      <w:pPr>
        <w:spacing w:line="400" w:lineRule="exact"/>
        <w:ind w:firstLine="480" w:firstLineChars="200"/>
        <w:textAlignment w:val="center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徐平峰在</w:t>
      </w:r>
      <w:r>
        <w:rPr>
          <w:rFonts w:hint="eastAsia"/>
          <w:sz w:val="24"/>
        </w:rPr>
        <w:t>香港恒生大学数学与统计系</w:t>
      </w:r>
      <w:r>
        <w:rPr>
          <w:rFonts w:hint="eastAsia"/>
          <w:sz w:val="24"/>
          <w:lang w:val="en-US" w:eastAsia="zh-CN"/>
        </w:rPr>
        <w:t>完成</w:t>
      </w:r>
      <w:r>
        <w:rPr>
          <w:rFonts w:hint="eastAsia"/>
          <w:sz w:val="24"/>
        </w:rPr>
        <w:t>含潜变量的图模型相关研究</w:t>
      </w:r>
      <w:r>
        <w:rPr>
          <w:rFonts w:hint="eastAsia"/>
          <w:sz w:val="24"/>
          <w:lang w:val="en-US" w:eastAsia="zh-CN"/>
        </w:rPr>
        <w:t>后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已如期回境，并已进行了校内公示。</w:t>
      </w:r>
      <w:bookmarkStart w:id="2" w:name="_GoBack"/>
      <w:bookmarkEnd w:id="2"/>
    </w:p>
    <w:p>
      <w:pPr>
        <w:spacing w:line="400" w:lineRule="exact"/>
        <w:ind w:firstLine="480"/>
        <w:jc w:val="center"/>
      </w:pPr>
      <w:bookmarkStart w:id="1" w:name="_Hlk5608640"/>
      <w:r>
        <w:rPr>
          <w:rFonts w:hint="eastAsia"/>
          <w:szCs w:val="21"/>
        </w:rPr>
        <w:t>附</w:t>
      </w:r>
      <w:r>
        <w:rPr>
          <w:szCs w:val="21"/>
        </w:rPr>
        <w:t>图sp.l=0.7、h=5的情况下的模拟比较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33060" cy="8150860"/>
            <wp:effectExtent l="0" t="0" r="0" b="254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876" cy="815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>
      <w:pPr>
        <w:spacing w:line="360" w:lineRule="auto"/>
        <w:ind w:firstLine="480" w:firstLineChars="200"/>
        <w:rPr>
          <w:rFonts w:hint="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07226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66"/>
    <w:rsid w:val="00013188"/>
    <w:rsid w:val="0001525C"/>
    <w:rsid w:val="00033A76"/>
    <w:rsid w:val="0004482B"/>
    <w:rsid w:val="00055403"/>
    <w:rsid w:val="000558BE"/>
    <w:rsid w:val="000A6857"/>
    <w:rsid w:val="000D5434"/>
    <w:rsid w:val="001363FC"/>
    <w:rsid w:val="001713CF"/>
    <w:rsid w:val="001A642D"/>
    <w:rsid w:val="001E3C4A"/>
    <w:rsid w:val="00212633"/>
    <w:rsid w:val="002821C4"/>
    <w:rsid w:val="00286CEF"/>
    <w:rsid w:val="002B2585"/>
    <w:rsid w:val="002C4E45"/>
    <w:rsid w:val="002C56E6"/>
    <w:rsid w:val="002E4C9D"/>
    <w:rsid w:val="00321A46"/>
    <w:rsid w:val="00327C9C"/>
    <w:rsid w:val="00357149"/>
    <w:rsid w:val="00363D78"/>
    <w:rsid w:val="0038001A"/>
    <w:rsid w:val="003D09D6"/>
    <w:rsid w:val="003E4F50"/>
    <w:rsid w:val="00415480"/>
    <w:rsid w:val="004A3036"/>
    <w:rsid w:val="004A42C0"/>
    <w:rsid w:val="004B5933"/>
    <w:rsid w:val="004C19F8"/>
    <w:rsid w:val="004D5215"/>
    <w:rsid w:val="00523CD3"/>
    <w:rsid w:val="00525126"/>
    <w:rsid w:val="00530757"/>
    <w:rsid w:val="00540547"/>
    <w:rsid w:val="005411E5"/>
    <w:rsid w:val="00551A69"/>
    <w:rsid w:val="00567E95"/>
    <w:rsid w:val="00572D62"/>
    <w:rsid w:val="00576BF6"/>
    <w:rsid w:val="00584F50"/>
    <w:rsid w:val="0058575E"/>
    <w:rsid w:val="005A11C7"/>
    <w:rsid w:val="005B5880"/>
    <w:rsid w:val="006016EE"/>
    <w:rsid w:val="006128D8"/>
    <w:rsid w:val="00620666"/>
    <w:rsid w:val="0066677B"/>
    <w:rsid w:val="00691595"/>
    <w:rsid w:val="006B1CA2"/>
    <w:rsid w:val="00776429"/>
    <w:rsid w:val="007842FB"/>
    <w:rsid w:val="0078660D"/>
    <w:rsid w:val="007A6D66"/>
    <w:rsid w:val="007D137C"/>
    <w:rsid w:val="007D4E10"/>
    <w:rsid w:val="007F339F"/>
    <w:rsid w:val="0080086A"/>
    <w:rsid w:val="008234C1"/>
    <w:rsid w:val="008817E0"/>
    <w:rsid w:val="008825B0"/>
    <w:rsid w:val="00896EDD"/>
    <w:rsid w:val="008D01AD"/>
    <w:rsid w:val="008F0D30"/>
    <w:rsid w:val="008F37E0"/>
    <w:rsid w:val="00924A02"/>
    <w:rsid w:val="00955C49"/>
    <w:rsid w:val="0095636D"/>
    <w:rsid w:val="00982804"/>
    <w:rsid w:val="00A63AD7"/>
    <w:rsid w:val="00A64222"/>
    <w:rsid w:val="00A77F40"/>
    <w:rsid w:val="00AA5F90"/>
    <w:rsid w:val="00AB7822"/>
    <w:rsid w:val="00B2202F"/>
    <w:rsid w:val="00B50D5E"/>
    <w:rsid w:val="00B519B1"/>
    <w:rsid w:val="00B837D8"/>
    <w:rsid w:val="00C16A3B"/>
    <w:rsid w:val="00C26D20"/>
    <w:rsid w:val="00C343D2"/>
    <w:rsid w:val="00C6493C"/>
    <w:rsid w:val="00C713CB"/>
    <w:rsid w:val="00CE6773"/>
    <w:rsid w:val="00D5478F"/>
    <w:rsid w:val="00D7189A"/>
    <w:rsid w:val="00D83D6E"/>
    <w:rsid w:val="00D954EB"/>
    <w:rsid w:val="00DD09A3"/>
    <w:rsid w:val="00E254B4"/>
    <w:rsid w:val="00E3104F"/>
    <w:rsid w:val="00E37619"/>
    <w:rsid w:val="00E64D6A"/>
    <w:rsid w:val="00EB0F8C"/>
    <w:rsid w:val="00F0048D"/>
    <w:rsid w:val="00F10464"/>
    <w:rsid w:val="00F60E92"/>
    <w:rsid w:val="00F85BCC"/>
    <w:rsid w:val="00FC0E24"/>
    <w:rsid w:val="00FF27FB"/>
    <w:rsid w:val="55D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256</Words>
  <Characters>1463</Characters>
  <Lines>12</Lines>
  <Paragraphs>3</Paragraphs>
  <TotalTime>1</TotalTime>
  <ScaleCrop>false</ScaleCrop>
  <LinksUpToDate>false</LinksUpToDate>
  <CharactersWithSpaces>1716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2018-12-04T23:45:00Z</dcterms:created>
  <dc:creator>xupf</dc:creator>
  <cp:lastModifiedBy>旭日东升</cp:lastModifiedBy>
  <dcterms:modified xsi:type="dcterms:W3CDTF">2019-04-10T02:36:18Z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